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B57" w:rsidRDefault="00446B57">
      <w:pPr>
        <w:rPr>
          <w:sz w:val="36"/>
          <w:szCs w:val="36"/>
        </w:rPr>
      </w:pPr>
      <w:r>
        <w:rPr>
          <w:noProof/>
          <w:sz w:val="72"/>
          <w:szCs w:val="72"/>
          <w:lang w:eastAsia="nl-NL"/>
        </w:rPr>
        <w:drawing>
          <wp:anchor distT="0" distB="0" distL="114300" distR="114300" simplePos="0" relativeHeight="251658240" behindDoc="1" locked="0" layoutInCell="1" allowOverlap="1">
            <wp:simplePos x="0" y="0"/>
            <wp:positionH relativeFrom="column">
              <wp:posOffset>4681855</wp:posOffset>
            </wp:positionH>
            <wp:positionV relativeFrom="paragraph">
              <wp:posOffset>119380</wp:posOffset>
            </wp:positionV>
            <wp:extent cx="3898800" cy="1278000"/>
            <wp:effectExtent l="0" t="0" r="6985" b="0"/>
            <wp:wrapTight wrapText="bothSides">
              <wp:wrapPolygon edited="0">
                <wp:start x="0" y="0"/>
                <wp:lineTo x="0" y="21256"/>
                <wp:lineTo x="21533" y="21256"/>
                <wp:lineTo x="2153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nllogo kle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8800" cy="1278000"/>
                    </a:xfrm>
                    <a:prstGeom prst="rect">
                      <a:avLst/>
                    </a:prstGeom>
                  </pic:spPr>
                </pic:pic>
              </a:graphicData>
            </a:graphic>
            <wp14:sizeRelH relativeFrom="margin">
              <wp14:pctWidth>0</wp14:pctWidth>
            </wp14:sizeRelH>
            <wp14:sizeRelV relativeFrom="margin">
              <wp14:pctHeight>0</wp14:pctHeight>
            </wp14:sizeRelV>
          </wp:anchor>
        </w:drawing>
      </w:r>
    </w:p>
    <w:p w:rsidR="00446B57" w:rsidRDefault="00446B57">
      <w:pPr>
        <w:rPr>
          <w:color w:val="0070C0"/>
          <w:sz w:val="72"/>
          <w:szCs w:val="72"/>
        </w:rPr>
      </w:pPr>
      <w:r w:rsidRPr="00446B57">
        <w:rPr>
          <w:color w:val="0070C0"/>
          <w:sz w:val="72"/>
          <w:szCs w:val="72"/>
        </w:rPr>
        <w:t>Jaarplan 2019-2020</w:t>
      </w:r>
    </w:p>
    <w:p w:rsidR="00446B57" w:rsidRDefault="00446B57" w:rsidP="00446B57">
      <w:pPr>
        <w:pStyle w:val="Geenafstand"/>
      </w:pPr>
    </w:p>
    <w:p w:rsidR="00446B57" w:rsidRDefault="00446B57" w:rsidP="00446B57">
      <w:pPr>
        <w:pStyle w:val="Geenafstand"/>
      </w:pPr>
    </w:p>
    <w:p w:rsidR="00446B57" w:rsidRDefault="00446B57" w:rsidP="00446B57">
      <w:pPr>
        <w:pStyle w:val="Geenafstand"/>
      </w:pPr>
    </w:p>
    <w:p w:rsidR="00446B57" w:rsidRDefault="00446B57" w:rsidP="00446B57">
      <w:pPr>
        <w:pStyle w:val="Geenafstand"/>
      </w:pPr>
    </w:p>
    <w:p w:rsidR="00446B57" w:rsidRDefault="00446B57" w:rsidP="00446B57">
      <w:pPr>
        <w:pStyle w:val="Geenafstand"/>
      </w:pPr>
    </w:p>
    <w:p w:rsidR="00446B57" w:rsidRDefault="00446B57" w:rsidP="00446B57">
      <w:pPr>
        <w:pStyle w:val="Geenafstand"/>
      </w:pPr>
    </w:p>
    <w:p w:rsidR="00446B57" w:rsidRDefault="00446B57" w:rsidP="00446B57">
      <w:pPr>
        <w:pStyle w:val="Geenafstand"/>
      </w:pPr>
      <w:r>
        <w:rPr>
          <w:noProof/>
          <w:lang w:eastAsia="nl-NL"/>
        </w:rPr>
        <w:drawing>
          <wp:anchor distT="0" distB="0" distL="114300" distR="114300" simplePos="0" relativeHeight="251659264" behindDoc="1" locked="0" layoutInCell="1" allowOverlap="1">
            <wp:simplePos x="0" y="0"/>
            <wp:positionH relativeFrom="margin">
              <wp:align>left</wp:align>
            </wp:positionH>
            <wp:positionV relativeFrom="paragraph">
              <wp:posOffset>151765</wp:posOffset>
            </wp:positionV>
            <wp:extent cx="5792400" cy="2257200"/>
            <wp:effectExtent l="0" t="0" r="0" b="0"/>
            <wp:wrapTight wrapText="bothSides">
              <wp:wrapPolygon edited="0">
                <wp:start x="0" y="0"/>
                <wp:lineTo x="0" y="21333"/>
                <wp:lineTo x="21527" y="21333"/>
                <wp:lineTo x="21527" y="0"/>
                <wp:lineTo x="0" y="0"/>
              </wp:wrapPolygon>
            </wp:wrapTight>
            <wp:docPr id="2" name="Afbeelding 2" descr="Beschrijving: https://fbcdn-sphotos-f-a.akamaihd.net/hphotos-ak-prn1/75521_428020830619901_1249211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s://fbcdn-sphotos-f-a.akamaihd.net/hphotos-ak-prn1/75521_428020830619901_124921162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2400" cy="22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37F" w:rsidRDefault="0008537F" w:rsidP="00446B57">
      <w:pPr>
        <w:pStyle w:val="Geenafstand"/>
      </w:pPr>
      <w:r>
        <w:t xml:space="preserve"> </w:t>
      </w:r>
      <w:r>
        <w:tab/>
      </w:r>
    </w:p>
    <w:p w:rsidR="00446B57" w:rsidRDefault="0008537F" w:rsidP="0008537F">
      <w:pPr>
        <w:pStyle w:val="Geenafstand"/>
        <w:rPr>
          <w:color w:val="0070C0"/>
          <w:sz w:val="28"/>
          <w:szCs w:val="28"/>
        </w:rPr>
      </w:pPr>
      <w:r>
        <w:t xml:space="preserve">            </w:t>
      </w:r>
      <w:r w:rsidR="00446B57">
        <w:t xml:space="preserve"> </w:t>
      </w:r>
      <w:r w:rsidR="00446B57">
        <w:rPr>
          <w:color w:val="0070C0"/>
          <w:sz w:val="28"/>
          <w:szCs w:val="28"/>
        </w:rPr>
        <w:t>Kindcentrum Talent.nl</w:t>
      </w:r>
    </w:p>
    <w:p w:rsidR="0008537F" w:rsidRDefault="0008537F" w:rsidP="00446B57">
      <w:pPr>
        <w:pStyle w:val="Geenafstand"/>
        <w:rPr>
          <w:color w:val="0070C0"/>
          <w:sz w:val="28"/>
          <w:szCs w:val="28"/>
        </w:rPr>
      </w:pPr>
      <w:r>
        <w:rPr>
          <w:color w:val="0070C0"/>
          <w:sz w:val="28"/>
          <w:szCs w:val="28"/>
        </w:rPr>
        <w:tab/>
        <w:t>De Vissersingel 1</w:t>
      </w:r>
    </w:p>
    <w:p w:rsidR="0008537F" w:rsidRDefault="0008537F" w:rsidP="00446B57">
      <w:pPr>
        <w:pStyle w:val="Geenafstand"/>
        <w:rPr>
          <w:color w:val="0070C0"/>
          <w:sz w:val="28"/>
          <w:szCs w:val="28"/>
        </w:rPr>
      </w:pPr>
      <w:r>
        <w:rPr>
          <w:color w:val="0070C0"/>
          <w:sz w:val="28"/>
          <w:szCs w:val="28"/>
        </w:rPr>
        <w:tab/>
        <w:t>7942EA Meppel</w:t>
      </w:r>
    </w:p>
    <w:p w:rsidR="0008537F" w:rsidRDefault="0008537F" w:rsidP="00446B57">
      <w:pPr>
        <w:pStyle w:val="Geenafstand"/>
        <w:rPr>
          <w:color w:val="0070C0"/>
          <w:sz w:val="28"/>
          <w:szCs w:val="28"/>
        </w:rPr>
      </w:pPr>
      <w:r>
        <w:rPr>
          <w:color w:val="0070C0"/>
          <w:sz w:val="28"/>
          <w:szCs w:val="28"/>
        </w:rPr>
        <w:tab/>
        <w:t>Tel: 0522-251716</w:t>
      </w:r>
    </w:p>
    <w:p w:rsidR="0008537F" w:rsidRDefault="0008537F" w:rsidP="00446B57">
      <w:pPr>
        <w:pStyle w:val="Geenafstand"/>
        <w:rPr>
          <w:color w:val="0070C0"/>
          <w:sz w:val="28"/>
          <w:szCs w:val="28"/>
        </w:rPr>
      </w:pPr>
      <w:r>
        <w:rPr>
          <w:color w:val="0070C0"/>
          <w:sz w:val="28"/>
          <w:szCs w:val="28"/>
        </w:rPr>
        <w:tab/>
      </w:r>
      <w:hyperlink r:id="rId7" w:history="1">
        <w:r w:rsidR="00910991" w:rsidRPr="00275661">
          <w:rPr>
            <w:rStyle w:val="Hyperlink"/>
            <w:sz w:val="28"/>
            <w:szCs w:val="28"/>
          </w:rPr>
          <w:t>www.kctalent.nl</w:t>
        </w:r>
      </w:hyperlink>
    </w:p>
    <w:p w:rsidR="0008537F" w:rsidRDefault="0008537F" w:rsidP="00446B57">
      <w:pPr>
        <w:pStyle w:val="Geenafstand"/>
        <w:rPr>
          <w:color w:val="0070C0"/>
          <w:sz w:val="28"/>
          <w:szCs w:val="28"/>
        </w:rPr>
      </w:pPr>
      <w:r>
        <w:rPr>
          <w:color w:val="0070C0"/>
          <w:sz w:val="28"/>
          <w:szCs w:val="28"/>
        </w:rPr>
        <w:tab/>
        <w:t>info@kctalent.nl</w:t>
      </w:r>
      <w:r>
        <w:rPr>
          <w:color w:val="0070C0"/>
          <w:sz w:val="28"/>
          <w:szCs w:val="28"/>
        </w:rPr>
        <w:tab/>
      </w:r>
      <w:r>
        <w:rPr>
          <w:color w:val="0070C0"/>
          <w:sz w:val="28"/>
          <w:szCs w:val="28"/>
        </w:rPr>
        <w:tab/>
      </w:r>
    </w:p>
    <w:p w:rsidR="00446B57" w:rsidRPr="00446B57" w:rsidRDefault="00446B57" w:rsidP="00446B57">
      <w:pPr>
        <w:pStyle w:val="Geenafstand"/>
        <w:rPr>
          <w:color w:val="0070C0"/>
          <w:sz w:val="28"/>
          <w:szCs w:val="28"/>
        </w:rPr>
      </w:pPr>
      <w:r>
        <w:rPr>
          <w:color w:val="0070C0"/>
          <w:sz w:val="28"/>
          <w:szCs w:val="28"/>
        </w:rPr>
        <w:t xml:space="preserve">       </w:t>
      </w:r>
      <w:r>
        <w:rPr>
          <w:color w:val="0070C0"/>
          <w:sz w:val="28"/>
          <w:szCs w:val="28"/>
        </w:rPr>
        <w:tab/>
      </w:r>
      <w:r>
        <w:rPr>
          <w:color w:val="0070C0"/>
          <w:sz w:val="28"/>
          <w:szCs w:val="28"/>
        </w:rPr>
        <w:tab/>
      </w:r>
    </w:p>
    <w:p w:rsidR="00446B57" w:rsidRDefault="00446B57" w:rsidP="00446B57">
      <w:pPr>
        <w:pStyle w:val="Geenafstand"/>
      </w:pPr>
    </w:p>
    <w:p w:rsidR="00446B57" w:rsidRDefault="00446B57" w:rsidP="00446B57">
      <w:pPr>
        <w:pStyle w:val="Geenafstand"/>
      </w:pPr>
    </w:p>
    <w:p w:rsidR="00446B57" w:rsidRDefault="00446B57" w:rsidP="00446B57">
      <w:pPr>
        <w:pStyle w:val="Geenafstand"/>
      </w:pPr>
      <w:bookmarkStart w:id="0" w:name="_GoBack"/>
      <w:bookmarkEnd w:id="0"/>
    </w:p>
    <w:p w:rsidR="00446B57" w:rsidRDefault="00446B57" w:rsidP="00446B57">
      <w:pPr>
        <w:pStyle w:val="Geenafstand"/>
      </w:pPr>
    </w:p>
    <w:p w:rsidR="00446B57" w:rsidRDefault="00446B57" w:rsidP="00446B57">
      <w:pPr>
        <w:pStyle w:val="Geenafstand"/>
      </w:pPr>
    </w:p>
    <w:p w:rsidR="00446B57" w:rsidRDefault="00446B57" w:rsidP="00446B57">
      <w:pPr>
        <w:pStyle w:val="Geenafstand"/>
      </w:pPr>
    </w:p>
    <w:p w:rsidR="00446B57" w:rsidRDefault="00446B57" w:rsidP="00446B57">
      <w:pPr>
        <w:pStyle w:val="Geenafstand"/>
      </w:pPr>
    </w:p>
    <w:p w:rsidR="00446B57" w:rsidRDefault="00446B57" w:rsidP="00446B57">
      <w:pPr>
        <w:pStyle w:val="Geenafstand"/>
      </w:pPr>
    </w:p>
    <w:p w:rsidR="00446B57" w:rsidRDefault="00446B57" w:rsidP="00446B57">
      <w:pPr>
        <w:pStyle w:val="Geenafstand"/>
      </w:pPr>
    </w:p>
    <w:p w:rsidR="00446B57" w:rsidRPr="0008537F" w:rsidRDefault="00446B57" w:rsidP="00446B57">
      <w:pPr>
        <w:pStyle w:val="Geenafstand"/>
        <w:rPr>
          <w:color w:val="0070C0"/>
        </w:rPr>
      </w:pPr>
      <w:r w:rsidRPr="00446B57">
        <w:rPr>
          <w:color w:val="0070C0"/>
        </w:rPr>
        <w:t>D. Barten-</w:t>
      </w:r>
      <w:proofErr w:type="spellStart"/>
      <w:r w:rsidRPr="00446B57">
        <w:rPr>
          <w:color w:val="0070C0"/>
        </w:rPr>
        <w:t>Vleeming</w:t>
      </w:r>
      <w:proofErr w:type="spellEnd"/>
      <w:r w:rsidRPr="00446B57">
        <w:rPr>
          <w:color w:val="0070C0"/>
        </w:rPr>
        <w:t xml:space="preserve"> (directeur)</w:t>
      </w:r>
    </w:p>
    <w:p w:rsidR="00446B57" w:rsidRDefault="00446B57" w:rsidP="00446B57">
      <w:pPr>
        <w:pStyle w:val="Geenafstand"/>
      </w:pPr>
    </w:p>
    <w:p w:rsidR="00896939" w:rsidRDefault="00896939" w:rsidP="00E67943">
      <w:pPr>
        <w:rPr>
          <w:color w:val="0070C0"/>
          <w:sz w:val="36"/>
          <w:szCs w:val="36"/>
        </w:rPr>
      </w:pPr>
    </w:p>
    <w:p w:rsidR="00896939" w:rsidRDefault="00083CED" w:rsidP="00E67943">
      <w:pPr>
        <w:rPr>
          <w:color w:val="0070C0"/>
          <w:sz w:val="36"/>
          <w:szCs w:val="36"/>
        </w:rPr>
      </w:pPr>
      <w:r>
        <w:rPr>
          <w:noProof/>
          <w:sz w:val="36"/>
          <w:szCs w:val="36"/>
          <w:lang w:eastAsia="nl-NL"/>
        </w:rPr>
        <w:drawing>
          <wp:anchor distT="0" distB="0" distL="114300" distR="114300" simplePos="0" relativeHeight="251660288" behindDoc="1" locked="0" layoutInCell="1" allowOverlap="1">
            <wp:simplePos x="0" y="0"/>
            <wp:positionH relativeFrom="margin">
              <wp:align>right</wp:align>
            </wp:positionH>
            <wp:positionV relativeFrom="paragraph">
              <wp:posOffset>78105</wp:posOffset>
            </wp:positionV>
            <wp:extent cx="2620645" cy="1741805"/>
            <wp:effectExtent l="0" t="0" r="8255" b="0"/>
            <wp:wrapTight wrapText="bothSides">
              <wp:wrapPolygon edited="0">
                <wp:start x="0" y="0"/>
                <wp:lineTo x="0" y="21261"/>
                <wp:lineTo x="21511" y="21261"/>
                <wp:lineTo x="2151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jd.jpg"/>
                    <pic:cNvPicPr/>
                  </pic:nvPicPr>
                  <pic:blipFill>
                    <a:blip r:embed="rId8">
                      <a:extLst>
                        <a:ext uri="{28A0092B-C50C-407E-A947-70E740481C1C}">
                          <a14:useLocalDpi xmlns:a14="http://schemas.microsoft.com/office/drawing/2010/main" val="0"/>
                        </a:ext>
                      </a:extLst>
                    </a:blip>
                    <a:stretch>
                      <a:fillRect/>
                    </a:stretch>
                  </pic:blipFill>
                  <pic:spPr>
                    <a:xfrm>
                      <a:off x="0" y="0"/>
                      <a:ext cx="2620645" cy="1741805"/>
                    </a:xfrm>
                    <a:prstGeom prst="rect">
                      <a:avLst/>
                    </a:prstGeom>
                  </pic:spPr>
                </pic:pic>
              </a:graphicData>
            </a:graphic>
            <wp14:sizeRelH relativeFrom="margin">
              <wp14:pctWidth>0</wp14:pctWidth>
            </wp14:sizeRelH>
            <wp14:sizeRelV relativeFrom="margin">
              <wp14:pctHeight>0</wp14:pctHeight>
            </wp14:sizeRelV>
          </wp:anchor>
        </w:drawing>
      </w:r>
    </w:p>
    <w:p w:rsidR="00E67943" w:rsidRPr="00E67943" w:rsidRDefault="00E67943" w:rsidP="00E67943">
      <w:pPr>
        <w:rPr>
          <w:sz w:val="36"/>
          <w:szCs w:val="36"/>
        </w:rPr>
      </w:pPr>
      <w:r w:rsidRPr="00E67943">
        <w:rPr>
          <w:color w:val="0070C0"/>
          <w:sz w:val="36"/>
          <w:szCs w:val="36"/>
        </w:rPr>
        <w:t xml:space="preserve">We hebben tijd nodig om vooruit te komen, tijd om van elkaar te horen wat nodig is om de volgende stap te kunnen zetten. Zo kunnen we opnieuw verbinden om ’t nieuwe te ontwikkelen. </w:t>
      </w:r>
    </w:p>
    <w:p w:rsidR="00E67943" w:rsidRDefault="00E67943">
      <w:pPr>
        <w:rPr>
          <w:sz w:val="36"/>
          <w:szCs w:val="36"/>
        </w:rPr>
      </w:pPr>
    </w:p>
    <w:p w:rsidR="00896939" w:rsidRDefault="00896939">
      <w:pPr>
        <w:rPr>
          <w:sz w:val="36"/>
          <w:szCs w:val="36"/>
        </w:rPr>
      </w:pPr>
    </w:p>
    <w:p w:rsidR="00896939" w:rsidRDefault="00896939">
      <w:pPr>
        <w:rPr>
          <w:sz w:val="36"/>
          <w:szCs w:val="36"/>
        </w:rPr>
      </w:pPr>
    </w:p>
    <w:p w:rsidR="00E67943" w:rsidRDefault="00E67943">
      <w:pPr>
        <w:rPr>
          <w:sz w:val="36"/>
          <w:szCs w:val="36"/>
        </w:rPr>
      </w:pPr>
      <w:r>
        <w:rPr>
          <w:sz w:val="36"/>
          <w:szCs w:val="36"/>
        </w:rPr>
        <w:t>Hoofddoel</w:t>
      </w:r>
    </w:p>
    <w:tbl>
      <w:tblPr>
        <w:tblStyle w:val="Tabelraster"/>
        <w:tblpPr w:leftFromText="141" w:rightFromText="141" w:vertAnchor="text" w:tblpY="95"/>
        <w:tblW w:w="14170" w:type="dxa"/>
        <w:tblLook w:val="04A0" w:firstRow="1" w:lastRow="0" w:firstColumn="1" w:lastColumn="0" w:noHBand="0" w:noVBand="1"/>
      </w:tblPr>
      <w:tblGrid>
        <w:gridCol w:w="2799"/>
        <w:gridCol w:w="7119"/>
        <w:gridCol w:w="1559"/>
        <w:gridCol w:w="2693"/>
      </w:tblGrid>
      <w:tr w:rsidR="00A44A49" w:rsidTr="00715A64">
        <w:tc>
          <w:tcPr>
            <w:tcW w:w="2799" w:type="dxa"/>
          </w:tcPr>
          <w:p w:rsidR="00A44A49" w:rsidRPr="00A44A49" w:rsidRDefault="00A44A49" w:rsidP="00A44A49">
            <w:pPr>
              <w:rPr>
                <w:sz w:val="28"/>
                <w:szCs w:val="28"/>
              </w:rPr>
            </w:pPr>
            <w:r>
              <w:rPr>
                <w:sz w:val="28"/>
                <w:szCs w:val="28"/>
              </w:rPr>
              <w:t>Verder uitwerken schoolconcept</w:t>
            </w:r>
          </w:p>
        </w:tc>
        <w:tc>
          <w:tcPr>
            <w:tcW w:w="7119" w:type="dxa"/>
          </w:tcPr>
          <w:p w:rsidR="00A44A49" w:rsidRPr="00A44A49" w:rsidRDefault="00A44A49" w:rsidP="00083CED">
            <w:pPr>
              <w:rPr>
                <w:sz w:val="28"/>
                <w:szCs w:val="28"/>
              </w:rPr>
            </w:pPr>
            <w:r>
              <w:rPr>
                <w:sz w:val="28"/>
                <w:szCs w:val="28"/>
              </w:rPr>
              <w:t xml:space="preserve">Gedurende </w:t>
            </w:r>
            <w:r w:rsidR="00715A64">
              <w:rPr>
                <w:sz w:val="28"/>
                <w:szCs w:val="28"/>
              </w:rPr>
              <w:t xml:space="preserve">het </w:t>
            </w:r>
            <w:r>
              <w:rPr>
                <w:sz w:val="28"/>
                <w:szCs w:val="28"/>
              </w:rPr>
              <w:t xml:space="preserve">schooljaar </w:t>
            </w:r>
            <w:r w:rsidR="00715A64">
              <w:rPr>
                <w:sz w:val="28"/>
                <w:szCs w:val="28"/>
              </w:rPr>
              <w:t>werken we onder begeleidi</w:t>
            </w:r>
            <w:r w:rsidR="00083CED">
              <w:rPr>
                <w:sz w:val="28"/>
                <w:szCs w:val="28"/>
              </w:rPr>
              <w:t>ng ons schoolconcept verder uit.</w:t>
            </w:r>
            <w:r w:rsidR="00715A64">
              <w:rPr>
                <w:sz w:val="28"/>
                <w:szCs w:val="28"/>
              </w:rPr>
              <w:t xml:space="preserve"> </w:t>
            </w:r>
            <w:r w:rsidR="00083CED">
              <w:rPr>
                <w:sz w:val="28"/>
                <w:szCs w:val="28"/>
              </w:rPr>
              <w:t>We zoeken de verbinding tussen onze visie en de door de wet aan het onderwijs gestelde eisen.</w:t>
            </w:r>
          </w:p>
        </w:tc>
        <w:tc>
          <w:tcPr>
            <w:tcW w:w="1559" w:type="dxa"/>
          </w:tcPr>
          <w:p w:rsidR="00A44A49" w:rsidRPr="00715A64" w:rsidRDefault="00A44A49" w:rsidP="00A44A49">
            <w:pPr>
              <w:rPr>
                <w:sz w:val="28"/>
                <w:szCs w:val="28"/>
              </w:rPr>
            </w:pPr>
            <w:r w:rsidRPr="00715A64">
              <w:rPr>
                <w:sz w:val="28"/>
                <w:szCs w:val="28"/>
              </w:rPr>
              <w:t>2019-2020</w:t>
            </w:r>
          </w:p>
        </w:tc>
        <w:tc>
          <w:tcPr>
            <w:tcW w:w="2693" w:type="dxa"/>
          </w:tcPr>
          <w:p w:rsidR="00A44A49" w:rsidRPr="00715A64" w:rsidRDefault="00715A64" w:rsidP="00A44A49">
            <w:pPr>
              <w:rPr>
                <w:sz w:val="28"/>
                <w:szCs w:val="28"/>
              </w:rPr>
            </w:pPr>
            <w:r w:rsidRPr="00715A64">
              <w:rPr>
                <w:sz w:val="28"/>
                <w:szCs w:val="28"/>
              </w:rPr>
              <w:t>Team</w:t>
            </w:r>
            <w:r>
              <w:rPr>
                <w:sz w:val="28"/>
                <w:szCs w:val="28"/>
              </w:rPr>
              <w:t xml:space="preserve"> met begeleiding van Annemarie </w:t>
            </w:r>
            <w:proofErr w:type="spellStart"/>
            <w:r>
              <w:rPr>
                <w:sz w:val="28"/>
                <w:szCs w:val="28"/>
              </w:rPr>
              <w:t>wenke</w:t>
            </w:r>
            <w:proofErr w:type="spellEnd"/>
          </w:p>
        </w:tc>
      </w:tr>
    </w:tbl>
    <w:p w:rsidR="00455F19" w:rsidRDefault="00455F19">
      <w:pPr>
        <w:rPr>
          <w:sz w:val="36"/>
          <w:szCs w:val="36"/>
        </w:rPr>
      </w:pPr>
    </w:p>
    <w:p w:rsidR="00896939" w:rsidRDefault="00896939">
      <w:pPr>
        <w:rPr>
          <w:sz w:val="36"/>
          <w:szCs w:val="36"/>
        </w:rPr>
      </w:pPr>
    </w:p>
    <w:p w:rsidR="00896939" w:rsidRDefault="00896939">
      <w:pPr>
        <w:rPr>
          <w:sz w:val="36"/>
          <w:szCs w:val="36"/>
        </w:rPr>
      </w:pPr>
    </w:p>
    <w:tbl>
      <w:tblPr>
        <w:tblStyle w:val="Tabelraster"/>
        <w:tblpPr w:leftFromText="141" w:rightFromText="141" w:vertAnchor="text" w:tblpY="320"/>
        <w:tblW w:w="14170" w:type="dxa"/>
        <w:tblLook w:val="04A0" w:firstRow="1" w:lastRow="0" w:firstColumn="1" w:lastColumn="0" w:noHBand="0" w:noVBand="1"/>
      </w:tblPr>
      <w:tblGrid>
        <w:gridCol w:w="329"/>
        <w:gridCol w:w="2643"/>
        <w:gridCol w:w="2693"/>
        <w:gridCol w:w="5675"/>
        <w:gridCol w:w="1436"/>
        <w:gridCol w:w="1394"/>
      </w:tblGrid>
      <w:tr w:rsidR="00FF6FC1" w:rsidTr="00896939">
        <w:tc>
          <w:tcPr>
            <w:tcW w:w="329" w:type="dxa"/>
          </w:tcPr>
          <w:p w:rsidR="00FF6FC1" w:rsidRPr="00A44A49" w:rsidRDefault="00FF6FC1" w:rsidP="00455F19">
            <w:pPr>
              <w:rPr>
                <w:b/>
                <w:sz w:val="28"/>
                <w:szCs w:val="28"/>
              </w:rPr>
            </w:pPr>
          </w:p>
        </w:tc>
        <w:tc>
          <w:tcPr>
            <w:tcW w:w="2643" w:type="dxa"/>
          </w:tcPr>
          <w:p w:rsidR="00FF6FC1" w:rsidRPr="00A44A49" w:rsidRDefault="00FF6FC1" w:rsidP="00455F19">
            <w:pPr>
              <w:rPr>
                <w:b/>
                <w:sz w:val="28"/>
                <w:szCs w:val="28"/>
              </w:rPr>
            </w:pPr>
            <w:r w:rsidRPr="00A44A49">
              <w:rPr>
                <w:b/>
                <w:sz w:val="28"/>
                <w:szCs w:val="28"/>
              </w:rPr>
              <w:t>Onderdeel</w:t>
            </w:r>
          </w:p>
        </w:tc>
        <w:tc>
          <w:tcPr>
            <w:tcW w:w="2693" w:type="dxa"/>
          </w:tcPr>
          <w:p w:rsidR="00FF6FC1" w:rsidRPr="00A44A49" w:rsidRDefault="00FF6FC1" w:rsidP="00455F19">
            <w:pPr>
              <w:rPr>
                <w:b/>
                <w:sz w:val="28"/>
                <w:szCs w:val="28"/>
              </w:rPr>
            </w:pPr>
            <w:r w:rsidRPr="00A44A49">
              <w:rPr>
                <w:b/>
                <w:sz w:val="28"/>
                <w:szCs w:val="28"/>
              </w:rPr>
              <w:t>Wat</w:t>
            </w:r>
          </w:p>
        </w:tc>
        <w:tc>
          <w:tcPr>
            <w:tcW w:w="5675" w:type="dxa"/>
          </w:tcPr>
          <w:p w:rsidR="00FF6FC1" w:rsidRPr="00A44A49" w:rsidRDefault="00FF6FC1" w:rsidP="00455F19">
            <w:pPr>
              <w:rPr>
                <w:b/>
                <w:sz w:val="28"/>
                <w:szCs w:val="28"/>
              </w:rPr>
            </w:pPr>
            <w:r w:rsidRPr="00A44A49">
              <w:rPr>
                <w:b/>
                <w:sz w:val="28"/>
                <w:szCs w:val="28"/>
              </w:rPr>
              <w:t>uitwerking</w:t>
            </w:r>
          </w:p>
        </w:tc>
        <w:tc>
          <w:tcPr>
            <w:tcW w:w="1436" w:type="dxa"/>
          </w:tcPr>
          <w:p w:rsidR="00FF6FC1" w:rsidRPr="00A44A49" w:rsidRDefault="00FF6FC1" w:rsidP="00455F19">
            <w:pPr>
              <w:rPr>
                <w:b/>
                <w:sz w:val="28"/>
                <w:szCs w:val="28"/>
              </w:rPr>
            </w:pPr>
            <w:r w:rsidRPr="00A44A49">
              <w:rPr>
                <w:b/>
                <w:sz w:val="28"/>
                <w:szCs w:val="28"/>
              </w:rPr>
              <w:t>periode</w:t>
            </w:r>
          </w:p>
        </w:tc>
        <w:tc>
          <w:tcPr>
            <w:tcW w:w="1394" w:type="dxa"/>
          </w:tcPr>
          <w:p w:rsidR="00FF6FC1" w:rsidRPr="00A44A49" w:rsidRDefault="00FF6FC1" w:rsidP="00455F19">
            <w:pPr>
              <w:rPr>
                <w:b/>
                <w:sz w:val="28"/>
                <w:szCs w:val="28"/>
              </w:rPr>
            </w:pPr>
            <w:r>
              <w:rPr>
                <w:b/>
                <w:sz w:val="28"/>
                <w:szCs w:val="28"/>
              </w:rPr>
              <w:t>Wie</w:t>
            </w:r>
          </w:p>
        </w:tc>
      </w:tr>
      <w:tr w:rsidR="00886CC5" w:rsidTr="00896939">
        <w:trPr>
          <w:trHeight w:val="784"/>
        </w:trPr>
        <w:tc>
          <w:tcPr>
            <w:tcW w:w="329" w:type="dxa"/>
          </w:tcPr>
          <w:p w:rsidR="00886CC5" w:rsidRDefault="00886CC5" w:rsidP="00455F19">
            <w:r>
              <w:t>1</w:t>
            </w:r>
          </w:p>
        </w:tc>
        <w:tc>
          <w:tcPr>
            <w:tcW w:w="2643" w:type="dxa"/>
          </w:tcPr>
          <w:p w:rsidR="00886CC5" w:rsidRDefault="00896939" w:rsidP="00455F19">
            <w:r>
              <w:t>Kind ge</w:t>
            </w:r>
            <w:r>
              <w:rPr>
                <w:rFonts w:cstheme="minorHAnsi"/>
              </w:rPr>
              <w:t>ï</w:t>
            </w:r>
            <w:r>
              <w:t>nitieerd t</w:t>
            </w:r>
            <w:r w:rsidR="00886CC5">
              <w:t>hematisch werken</w:t>
            </w:r>
            <w:r>
              <w:t>.</w:t>
            </w:r>
          </w:p>
        </w:tc>
        <w:tc>
          <w:tcPr>
            <w:tcW w:w="2693" w:type="dxa"/>
          </w:tcPr>
          <w:p w:rsidR="00886CC5" w:rsidRDefault="00886CC5" w:rsidP="00886CC5">
            <w:r>
              <w:t>Ritme en structuur</w:t>
            </w:r>
          </w:p>
          <w:p w:rsidR="00886CC5" w:rsidRDefault="00886CC5" w:rsidP="00886CC5"/>
          <w:p w:rsidR="00886CC5" w:rsidRDefault="00886CC5" w:rsidP="00886CC5"/>
          <w:p w:rsidR="00886CC5" w:rsidRDefault="00886CC5" w:rsidP="00886CC5"/>
          <w:p w:rsidR="00886CC5" w:rsidRDefault="00886CC5" w:rsidP="00886CC5">
            <w:r>
              <w:t>Inrichten</w:t>
            </w:r>
          </w:p>
          <w:p w:rsidR="00886CC5" w:rsidRDefault="00886CC5" w:rsidP="00886CC5"/>
          <w:p w:rsidR="00886CC5" w:rsidRDefault="00886CC5" w:rsidP="00886CC5">
            <w:r>
              <w:t>Werken aan leerdoelen</w:t>
            </w:r>
          </w:p>
          <w:p w:rsidR="00896939" w:rsidRDefault="00896939" w:rsidP="00886CC5"/>
          <w:p w:rsidR="00896939" w:rsidRDefault="00896939" w:rsidP="00886CC5"/>
          <w:p w:rsidR="00896939" w:rsidRDefault="00896939" w:rsidP="00886CC5"/>
          <w:p w:rsidR="00896939" w:rsidRDefault="00896939" w:rsidP="00886CC5"/>
          <w:p w:rsidR="00896939" w:rsidRDefault="00896939" w:rsidP="00886CC5"/>
          <w:p w:rsidR="00896939" w:rsidRDefault="00896939" w:rsidP="00886CC5">
            <w:r>
              <w:t>Kinderen betrekken</w:t>
            </w:r>
          </w:p>
        </w:tc>
        <w:tc>
          <w:tcPr>
            <w:tcW w:w="5675" w:type="dxa"/>
          </w:tcPr>
          <w:p w:rsidR="00886CC5" w:rsidRDefault="00886CC5" w:rsidP="00886CC5">
            <w:r>
              <w:t>Planning van thema en deelthema’s in tijd.</w:t>
            </w:r>
          </w:p>
          <w:p w:rsidR="00886CC5" w:rsidRDefault="00896939" w:rsidP="00886CC5">
            <w:r>
              <w:t>Ontwerpen van een thema door leerkrachten</w:t>
            </w:r>
          </w:p>
          <w:p w:rsidR="00886CC5" w:rsidRDefault="00896939" w:rsidP="00886CC5">
            <w:r>
              <w:t>Werken aan een basisstramien / opbouw.</w:t>
            </w:r>
          </w:p>
          <w:p w:rsidR="00886CC5" w:rsidRDefault="00886CC5" w:rsidP="00886CC5"/>
          <w:p w:rsidR="00886CC5" w:rsidRDefault="00886CC5" w:rsidP="00886CC5">
            <w:r>
              <w:t>Stimulerende hoeken om doelen te realiseren.</w:t>
            </w:r>
          </w:p>
          <w:p w:rsidR="00886CC5" w:rsidRDefault="00886CC5" w:rsidP="00886CC5"/>
          <w:p w:rsidR="00886CC5" w:rsidRDefault="00886CC5" w:rsidP="00886CC5">
            <w:r>
              <w:t xml:space="preserve">In ons meerjarenplan staat beschreven dat we toe werken naar volledig thematisch werken. </w:t>
            </w:r>
          </w:p>
          <w:p w:rsidR="00886CC5" w:rsidRDefault="00886CC5" w:rsidP="00886CC5">
            <w:r>
              <w:t xml:space="preserve">De leerdoelen voor rekenen, taal en spelling worden per periode uitgewerkt. Deze worden inzichtelijk gemaakt voor de leerlingen. </w:t>
            </w:r>
          </w:p>
          <w:p w:rsidR="00886CC5" w:rsidRDefault="00886CC5" w:rsidP="00886CC5">
            <w:r>
              <w:t>De leerdoelen krijgen een plek in het thema ontwerp.</w:t>
            </w:r>
          </w:p>
          <w:p w:rsidR="00896939" w:rsidRDefault="00896939" w:rsidP="00886CC5">
            <w:r>
              <w:t xml:space="preserve">Er is ruimte voor het kind om mee te denken en initiatieven te nemen om te werken aan persoonlijke leerdoelen. </w:t>
            </w:r>
          </w:p>
          <w:p w:rsidR="00896939" w:rsidRDefault="00896939" w:rsidP="00886CC5"/>
        </w:tc>
        <w:tc>
          <w:tcPr>
            <w:tcW w:w="1436" w:type="dxa"/>
          </w:tcPr>
          <w:p w:rsidR="00886CC5" w:rsidRDefault="00886CC5" w:rsidP="00886CC5">
            <w:r>
              <w:t>Sept – dec</w:t>
            </w:r>
          </w:p>
          <w:p w:rsidR="00886CC5" w:rsidRDefault="00886CC5" w:rsidP="00886CC5"/>
          <w:p w:rsidR="00886CC5" w:rsidRDefault="00886CC5" w:rsidP="00886CC5"/>
          <w:p w:rsidR="00886CC5" w:rsidRDefault="00886CC5" w:rsidP="00886CC5"/>
          <w:p w:rsidR="00886CC5" w:rsidRDefault="00886CC5" w:rsidP="00886CC5">
            <w:r>
              <w:t>2019-2020</w:t>
            </w:r>
          </w:p>
        </w:tc>
        <w:tc>
          <w:tcPr>
            <w:tcW w:w="1394" w:type="dxa"/>
          </w:tcPr>
          <w:p w:rsidR="00886CC5" w:rsidRDefault="00886CC5" w:rsidP="00455F19">
            <w:r>
              <w:t>Team, Annemarie</w:t>
            </w:r>
          </w:p>
        </w:tc>
      </w:tr>
      <w:tr w:rsidR="00FF6FC1" w:rsidTr="00896939">
        <w:trPr>
          <w:trHeight w:val="784"/>
        </w:trPr>
        <w:tc>
          <w:tcPr>
            <w:tcW w:w="329" w:type="dxa"/>
          </w:tcPr>
          <w:p w:rsidR="00FF6FC1" w:rsidRDefault="00886CC5" w:rsidP="00455F19">
            <w:r>
              <w:t>2</w:t>
            </w:r>
          </w:p>
        </w:tc>
        <w:tc>
          <w:tcPr>
            <w:tcW w:w="2643" w:type="dxa"/>
          </w:tcPr>
          <w:p w:rsidR="00FF6FC1" w:rsidRDefault="00FF6FC1" w:rsidP="00455F19">
            <w:r>
              <w:t>Registratie;</w:t>
            </w:r>
          </w:p>
          <w:p w:rsidR="002202AF" w:rsidRDefault="002202AF" w:rsidP="00455F19"/>
          <w:p w:rsidR="00FF6FC1" w:rsidRDefault="00FF6FC1" w:rsidP="002202AF"/>
        </w:tc>
        <w:tc>
          <w:tcPr>
            <w:tcW w:w="2693" w:type="dxa"/>
          </w:tcPr>
          <w:p w:rsidR="002202AF" w:rsidRDefault="002202AF" w:rsidP="00896939">
            <w:r>
              <w:t>Taal, werkwijze en kwalitatieve criteria ontwikkelen die recht doen aan een kind, en het kind als geheel in beeld brengen.</w:t>
            </w:r>
          </w:p>
          <w:p w:rsidR="002202AF" w:rsidRDefault="002202AF" w:rsidP="00455F19"/>
          <w:p w:rsidR="00FF6FC1" w:rsidRDefault="00FF6FC1" w:rsidP="00455F19">
            <w:r>
              <w:t xml:space="preserve">Elke leerkracht draagt zorg voor registratie van leerling informatie in </w:t>
            </w:r>
            <w:proofErr w:type="spellStart"/>
            <w:r>
              <w:t>Parnassys</w:t>
            </w:r>
            <w:proofErr w:type="spellEnd"/>
            <w:r>
              <w:t>.</w:t>
            </w:r>
          </w:p>
          <w:p w:rsidR="00A538D1" w:rsidRDefault="00A538D1" w:rsidP="00455F19"/>
          <w:p w:rsidR="00FF6FC1" w:rsidRDefault="00FF6FC1" w:rsidP="00455F19">
            <w:r>
              <w:t>Groepsmappen</w:t>
            </w:r>
          </w:p>
          <w:p w:rsidR="00FF6FC1" w:rsidRDefault="00FF6FC1" w:rsidP="00455F19"/>
          <w:p w:rsidR="00FF6FC1" w:rsidRDefault="00FF6FC1" w:rsidP="00455F19"/>
          <w:p w:rsidR="00FF6FC1" w:rsidRDefault="00FF6FC1" w:rsidP="002202AF"/>
        </w:tc>
        <w:tc>
          <w:tcPr>
            <w:tcW w:w="5675" w:type="dxa"/>
          </w:tcPr>
          <w:p w:rsidR="002202AF" w:rsidRDefault="002202AF" w:rsidP="002202AF">
            <w:r>
              <w:t>Door leer- en portfoliogesprekken van elkaar op te nemen, portfolio’s te bekijken en relevante literatuur te verzamelen.</w:t>
            </w:r>
          </w:p>
          <w:p w:rsidR="002202AF" w:rsidRDefault="002202AF" w:rsidP="00455F19"/>
          <w:p w:rsidR="002202AF" w:rsidRDefault="002202AF" w:rsidP="00455F19"/>
          <w:p w:rsidR="002202AF" w:rsidRDefault="002202AF" w:rsidP="00455F19"/>
          <w:p w:rsidR="00896939" w:rsidRDefault="00896939" w:rsidP="00455F19"/>
          <w:p w:rsidR="00896939" w:rsidRDefault="00896939" w:rsidP="00455F19"/>
          <w:p w:rsidR="00FF6FC1" w:rsidRDefault="00FF6FC1" w:rsidP="00455F19">
            <w:r>
              <w:t>Invullen van basisdocument voor elke leerling.</w:t>
            </w:r>
          </w:p>
          <w:p w:rsidR="00FF6FC1" w:rsidRDefault="00FF6FC1" w:rsidP="00455F19">
            <w:proofErr w:type="spellStart"/>
            <w:r>
              <w:t>IB’ers</w:t>
            </w:r>
            <w:proofErr w:type="spellEnd"/>
            <w:r>
              <w:t xml:space="preserve"> geven aan wat beschreven moet worden. </w:t>
            </w:r>
          </w:p>
          <w:p w:rsidR="00FF6FC1" w:rsidRDefault="00FF6FC1" w:rsidP="00455F19"/>
          <w:p w:rsidR="00FF6FC1" w:rsidRDefault="00FF6FC1" w:rsidP="00455F19"/>
          <w:p w:rsidR="00FF6FC1" w:rsidRDefault="00FF6FC1" w:rsidP="00455F19">
            <w:proofErr w:type="spellStart"/>
            <w:r>
              <w:t>IB’ers</w:t>
            </w:r>
            <w:proofErr w:type="spellEnd"/>
            <w:r>
              <w:t xml:space="preserve"> doen onderzoek: wat is er, wat wenst de </w:t>
            </w:r>
            <w:proofErr w:type="spellStart"/>
            <w:r>
              <w:t>lkr</w:t>
            </w:r>
            <w:proofErr w:type="spellEnd"/>
            <w:r>
              <w:t>., wat wil IB zien, wat is van belang. Samen met directie komen tot een voorstel van de indeling. Met elkaar het voorstel bespreken en</w:t>
            </w:r>
            <w:r w:rsidR="005F1559">
              <w:t xml:space="preserve"> samen werkbare groepsmappen laten ontstaan</w:t>
            </w:r>
            <w:r>
              <w:t>.</w:t>
            </w:r>
          </w:p>
          <w:p w:rsidR="00FF6FC1" w:rsidRDefault="00FF6FC1" w:rsidP="002202AF"/>
        </w:tc>
        <w:tc>
          <w:tcPr>
            <w:tcW w:w="1436" w:type="dxa"/>
          </w:tcPr>
          <w:p w:rsidR="00FF6FC1" w:rsidRDefault="00FF6FC1" w:rsidP="00455F19">
            <w:r>
              <w:t>Sept/okt.</w:t>
            </w:r>
          </w:p>
          <w:p w:rsidR="00FF6FC1" w:rsidRDefault="00FF6FC1" w:rsidP="00455F19">
            <w:r>
              <w:t xml:space="preserve">Geplande momenten om dit samen te doen. </w:t>
            </w:r>
          </w:p>
          <w:p w:rsidR="00FF6FC1" w:rsidRDefault="00FF6FC1" w:rsidP="00455F19">
            <w:r>
              <w:t>oktober</w:t>
            </w:r>
          </w:p>
        </w:tc>
        <w:tc>
          <w:tcPr>
            <w:tcW w:w="1394" w:type="dxa"/>
          </w:tcPr>
          <w:p w:rsidR="00FF6FC1" w:rsidRDefault="00FF6FC1" w:rsidP="00455F19">
            <w:r>
              <w:t>Team</w:t>
            </w:r>
          </w:p>
          <w:p w:rsidR="00FF6FC1" w:rsidRDefault="00FF6FC1" w:rsidP="00455F19"/>
          <w:p w:rsidR="00FF6FC1" w:rsidRDefault="00FF6FC1" w:rsidP="00455F19"/>
          <w:p w:rsidR="00FF6FC1" w:rsidRDefault="00FF6FC1" w:rsidP="00455F19"/>
          <w:p w:rsidR="00FF6FC1" w:rsidRDefault="00FF6FC1" w:rsidP="00455F19"/>
          <w:p w:rsidR="00FF6FC1" w:rsidRDefault="00FF6FC1" w:rsidP="00455F19">
            <w:r>
              <w:t>Eerste actie door IB.</w:t>
            </w:r>
          </w:p>
        </w:tc>
      </w:tr>
      <w:tr w:rsidR="00FF6FC1" w:rsidTr="00896939">
        <w:trPr>
          <w:trHeight w:val="784"/>
        </w:trPr>
        <w:tc>
          <w:tcPr>
            <w:tcW w:w="329" w:type="dxa"/>
          </w:tcPr>
          <w:p w:rsidR="00FF6FC1" w:rsidRDefault="00886CC5" w:rsidP="00455F19">
            <w:r>
              <w:lastRenderedPageBreak/>
              <w:t>3</w:t>
            </w:r>
          </w:p>
        </w:tc>
        <w:tc>
          <w:tcPr>
            <w:tcW w:w="2643" w:type="dxa"/>
          </w:tcPr>
          <w:p w:rsidR="00FF6FC1" w:rsidRDefault="00FF6FC1" w:rsidP="00455F19">
            <w:r>
              <w:t>Leer- en portfoliogesprekken</w:t>
            </w:r>
          </w:p>
        </w:tc>
        <w:tc>
          <w:tcPr>
            <w:tcW w:w="2693" w:type="dxa"/>
          </w:tcPr>
          <w:p w:rsidR="00FF6FC1" w:rsidRDefault="00FF6FC1" w:rsidP="00455F19">
            <w:r>
              <w:t>Ritme en inhoud geven</w:t>
            </w:r>
          </w:p>
          <w:p w:rsidR="00896939" w:rsidRDefault="00896939" w:rsidP="00455F19"/>
          <w:p w:rsidR="00896939" w:rsidRDefault="00896939" w:rsidP="00455F19"/>
          <w:p w:rsidR="00896939" w:rsidRDefault="00896939" w:rsidP="00455F19"/>
          <w:p w:rsidR="00896939" w:rsidRDefault="00896939" w:rsidP="00455F19"/>
          <w:p w:rsidR="00896939" w:rsidRDefault="00896939" w:rsidP="00455F19"/>
          <w:p w:rsidR="00896939" w:rsidRDefault="00896939" w:rsidP="00455F19"/>
          <w:p w:rsidR="00896939" w:rsidRDefault="00896939" w:rsidP="00455F19"/>
          <w:p w:rsidR="00896939" w:rsidRDefault="00896939" w:rsidP="00455F19"/>
          <w:p w:rsidR="00896939" w:rsidRDefault="00896939" w:rsidP="00455F19"/>
          <w:p w:rsidR="00896939" w:rsidRDefault="00896939" w:rsidP="00455F19"/>
          <w:p w:rsidR="00A97EC4" w:rsidRDefault="00A97EC4" w:rsidP="00455F19"/>
          <w:p w:rsidR="00896939" w:rsidRDefault="00896939" w:rsidP="00455F19">
            <w:r>
              <w:t>Voortgang in beeld brengen.</w:t>
            </w:r>
          </w:p>
          <w:p w:rsidR="00896939" w:rsidRDefault="00896939" w:rsidP="00455F19"/>
          <w:p w:rsidR="00896939" w:rsidRDefault="00896939" w:rsidP="00455F19">
            <w:r>
              <w:t>Communicatie met ouders</w:t>
            </w:r>
          </w:p>
        </w:tc>
        <w:tc>
          <w:tcPr>
            <w:tcW w:w="5675" w:type="dxa"/>
          </w:tcPr>
          <w:p w:rsidR="00FF6FC1" w:rsidRDefault="00FF6FC1" w:rsidP="000D1971">
            <w:r>
              <w:t xml:space="preserve">De gesprekken; de leergesprekken krijgen een vaste plaats binnen het thema. Deze worden in de themavoorbereiding gepland. </w:t>
            </w:r>
          </w:p>
          <w:p w:rsidR="00FF6FC1" w:rsidRDefault="00FF6FC1" w:rsidP="000D1971">
            <w:r>
              <w:t>De inhoud van de lee</w:t>
            </w:r>
            <w:r w:rsidR="005F1559">
              <w:t>rgesprekken wordt vorm gegeven door leren met en van elkaar. (opnames, collegiale consultatie</w:t>
            </w:r>
            <w:r w:rsidR="00A97EC4">
              <w:t>, opleiden</w:t>
            </w:r>
            <w:r w:rsidR="005F1559">
              <w:t xml:space="preserve">). </w:t>
            </w:r>
            <w:r>
              <w:t xml:space="preserve">Vragen uit de sociale vragenlijst krijgen hierin ook een plek. </w:t>
            </w:r>
          </w:p>
          <w:p w:rsidR="00FF6FC1" w:rsidRDefault="00FF6FC1" w:rsidP="000D1971">
            <w:r>
              <w:t>Startgesprek en portfoliogesprekken zijn gepland. Gedurende het schooljaar bespreken we of en hoe deze momenten anders gepland moeten/kunnen worden.</w:t>
            </w:r>
          </w:p>
          <w:p w:rsidR="00FF6FC1" w:rsidRDefault="00FF6FC1" w:rsidP="000D1971">
            <w:r>
              <w:t xml:space="preserve">De inhoud en de wijze van registreren wordt expliciet gemaakt. </w:t>
            </w:r>
          </w:p>
          <w:p w:rsidR="00896939" w:rsidRDefault="00896939" w:rsidP="000D1971"/>
          <w:p w:rsidR="00FF6FC1" w:rsidRDefault="00896939" w:rsidP="00455F19">
            <w:r>
              <w:t>Inzicht hebben in de voortgang en welke consequenties dat heeft voor de begeleiding</w:t>
            </w:r>
          </w:p>
          <w:p w:rsidR="00896939" w:rsidRDefault="00896939" w:rsidP="00455F19"/>
          <w:p w:rsidR="00A97EC4" w:rsidRDefault="00896939" w:rsidP="00455F19">
            <w:r>
              <w:t xml:space="preserve">Hoe maken we de voortgang inzichtelijk voor ouders? </w:t>
            </w:r>
          </w:p>
          <w:p w:rsidR="00896939" w:rsidRDefault="00A97EC4" w:rsidP="00455F19">
            <w:r>
              <w:t>Hoe gaan we om met gedragsproblemen en gebruiken we dit als ingang van leren door/voor leerkracht, kind en school.</w:t>
            </w:r>
          </w:p>
          <w:p w:rsidR="00896939" w:rsidRDefault="00896939" w:rsidP="00455F19"/>
        </w:tc>
        <w:tc>
          <w:tcPr>
            <w:tcW w:w="1436" w:type="dxa"/>
          </w:tcPr>
          <w:p w:rsidR="00FF6FC1" w:rsidRDefault="00FF6FC1" w:rsidP="00455F19">
            <w:r>
              <w:t>2019-2020</w:t>
            </w:r>
          </w:p>
        </w:tc>
        <w:tc>
          <w:tcPr>
            <w:tcW w:w="1394" w:type="dxa"/>
          </w:tcPr>
          <w:p w:rsidR="00FF6FC1" w:rsidRDefault="00FF6FC1" w:rsidP="00455F19">
            <w:r>
              <w:t>Team</w:t>
            </w:r>
          </w:p>
        </w:tc>
      </w:tr>
      <w:tr w:rsidR="00587E44" w:rsidTr="00896939">
        <w:trPr>
          <w:trHeight w:val="2032"/>
        </w:trPr>
        <w:tc>
          <w:tcPr>
            <w:tcW w:w="329" w:type="dxa"/>
          </w:tcPr>
          <w:p w:rsidR="00587E44" w:rsidRDefault="00886CC5" w:rsidP="00455F19">
            <w:r>
              <w:t>4</w:t>
            </w:r>
          </w:p>
        </w:tc>
        <w:tc>
          <w:tcPr>
            <w:tcW w:w="2643" w:type="dxa"/>
          </w:tcPr>
          <w:p w:rsidR="00587E44" w:rsidRDefault="00A538D1" w:rsidP="00455F19">
            <w:r>
              <w:t>Doorgaande</w:t>
            </w:r>
            <w:r w:rsidR="004005BC">
              <w:t>,</w:t>
            </w:r>
            <w:r>
              <w:t xml:space="preserve"> ononderbroken leerlijn.</w:t>
            </w:r>
          </w:p>
        </w:tc>
        <w:tc>
          <w:tcPr>
            <w:tcW w:w="2693" w:type="dxa"/>
          </w:tcPr>
          <w:p w:rsidR="00587E44" w:rsidRDefault="00A538D1" w:rsidP="00455F19">
            <w:r>
              <w:t>Leren leesproces</w:t>
            </w:r>
            <w:r w:rsidR="004005BC">
              <w:t xml:space="preserve"> zichtbaar maken</w:t>
            </w:r>
          </w:p>
          <w:p w:rsidR="005F1559" w:rsidRDefault="005F1559" w:rsidP="00455F19"/>
          <w:p w:rsidR="005F1559" w:rsidRDefault="005F1559" w:rsidP="00455F19"/>
          <w:p w:rsidR="005F1559" w:rsidRDefault="005F1559" w:rsidP="00455F19"/>
        </w:tc>
        <w:tc>
          <w:tcPr>
            <w:tcW w:w="5675" w:type="dxa"/>
          </w:tcPr>
          <w:p w:rsidR="00587E44" w:rsidRDefault="00A538D1" w:rsidP="00455F19">
            <w:r>
              <w:t xml:space="preserve">Zichtbaar maken: Hoe ziet ons leren leesproces eruit? </w:t>
            </w:r>
          </w:p>
          <w:p w:rsidR="00A538D1" w:rsidRDefault="00A538D1" w:rsidP="00455F19">
            <w:r>
              <w:t>Hoe volgen we de leerling in groei, hoe gebruiken we de cito scores, hoe verloopt de overgang naar gr 4, 5?</w:t>
            </w:r>
          </w:p>
          <w:p w:rsidR="005F1559" w:rsidRPr="004005BC" w:rsidRDefault="00A538D1" w:rsidP="004005BC">
            <w:r>
              <w:t>Inzetten op de hiaten die we ondervinden.</w:t>
            </w:r>
          </w:p>
        </w:tc>
        <w:tc>
          <w:tcPr>
            <w:tcW w:w="1436" w:type="dxa"/>
          </w:tcPr>
          <w:p w:rsidR="00587E44" w:rsidRDefault="00A538D1" w:rsidP="00455F19">
            <w:r>
              <w:t>Sep - dec</w:t>
            </w:r>
          </w:p>
        </w:tc>
        <w:tc>
          <w:tcPr>
            <w:tcW w:w="1394" w:type="dxa"/>
          </w:tcPr>
          <w:p w:rsidR="00587E44" w:rsidRDefault="00A538D1" w:rsidP="00455F19">
            <w:r>
              <w:t xml:space="preserve">Leerkrachten ob </w:t>
            </w:r>
            <w:r w:rsidR="00896939">
              <w:t>–</w:t>
            </w:r>
            <w:r>
              <w:t xml:space="preserve"> mb</w:t>
            </w:r>
          </w:p>
          <w:p w:rsidR="00896939" w:rsidRDefault="00896939" w:rsidP="00455F19">
            <w:r>
              <w:t>IB</w:t>
            </w:r>
          </w:p>
        </w:tc>
      </w:tr>
      <w:tr w:rsidR="00FF6FC1" w:rsidTr="00896939">
        <w:tc>
          <w:tcPr>
            <w:tcW w:w="329" w:type="dxa"/>
          </w:tcPr>
          <w:p w:rsidR="00FF6FC1" w:rsidRDefault="00A538D1" w:rsidP="00455F19">
            <w:r>
              <w:t>5</w:t>
            </w:r>
          </w:p>
        </w:tc>
        <w:tc>
          <w:tcPr>
            <w:tcW w:w="2643" w:type="dxa"/>
          </w:tcPr>
          <w:p w:rsidR="00FF6FC1" w:rsidRDefault="00FF6FC1" w:rsidP="00455F19">
            <w:r>
              <w:t xml:space="preserve">Bewegend </w:t>
            </w:r>
            <w:r w:rsidR="00083CED">
              <w:t xml:space="preserve">/ buiten </w:t>
            </w:r>
            <w:r>
              <w:t>leren</w:t>
            </w:r>
          </w:p>
        </w:tc>
        <w:tc>
          <w:tcPr>
            <w:tcW w:w="2693" w:type="dxa"/>
          </w:tcPr>
          <w:p w:rsidR="00FF6FC1" w:rsidRDefault="00083CED" w:rsidP="00455F19">
            <w:r>
              <w:t>Kansen benutten om een z</w:t>
            </w:r>
            <w:r w:rsidR="00FF6FC1">
              <w:t xml:space="preserve">involle invulling </w:t>
            </w:r>
            <w:r>
              <w:t xml:space="preserve">hieraan te geven </w:t>
            </w:r>
            <w:r w:rsidR="00FF6FC1">
              <w:t>voor alle leeftijden</w:t>
            </w:r>
            <w:r>
              <w:t>.</w:t>
            </w:r>
          </w:p>
        </w:tc>
        <w:tc>
          <w:tcPr>
            <w:tcW w:w="5675" w:type="dxa"/>
          </w:tcPr>
          <w:p w:rsidR="00FF6FC1" w:rsidRDefault="00FF6FC1" w:rsidP="00455F19">
            <w:r>
              <w:t>Bewegend leren heeft een vaste plaats in ons onderwijsprogramma voor de jongere leerlingen. Voor de mb/</w:t>
            </w:r>
            <w:proofErr w:type="spellStart"/>
            <w:r>
              <w:t>bb</w:t>
            </w:r>
            <w:proofErr w:type="spellEnd"/>
            <w:r>
              <w:t xml:space="preserve"> werken we activiteiten uit voor rek/taal/</w:t>
            </w:r>
            <w:proofErr w:type="spellStart"/>
            <w:r>
              <w:t>sp</w:t>
            </w:r>
            <w:proofErr w:type="spellEnd"/>
            <w:r>
              <w:t xml:space="preserve"> om tenminste 1 keer per week in te zetten.</w:t>
            </w:r>
          </w:p>
          <w:p w:rsidR="00083CED" w:rsidRDefault="00083CED" w:rsidP="00455F19">
            <w:r>
              <w:t>Leerkrachten en onderwijsassistenten werken hierin nauw samen.</w:t>
            </w:r>
          </w:p>
          <w:p w:rsidR="00083CED" w:rsidRDefault="00083CED" w:rsidP="00455F19"/>
          <w:p w:rsidR="00083CED" w:rsidRDefault="00083CED" w:rsidP="00455F19"/>
          <w:p w:rsidR="00083CED" w:rsidRDefault="00083CED" w:rsidP="00455F19"/>
        </w:tc>
        <w:tc>
          <w:tcPr>
            <w:tcW w:w="1436" w:type="dxa"/>
          </w:tcPr>
          <w:p w:rsidR="00FF6FC1" w:rsidRDefault="00FF6FC1" w:rsidP="00455F19">
            <w:r>
              <w:lastRenderedPageBreak/>
              <w:t>2019-2020</w:t>
            </w:r>
          </w:p>
        </w:tc>
        <w:tc>
          <w:tcPr>
            <w:tcW w:w="1394" w:type="dxa"/>
          </w:tcPr>
          <w:p w:rsidR="00FF6FC1" w:rsidRDefault="00FF6FC1" w:rsidP="00455F19">
            <w:proofErr w:type="spellStart"/>
            <w:r>
              <w:t>Lkr</w:t>
            </w:r>
            <w:proofErr w:type="spellEnd"/>
            <w:r>
              <w:t>. + o.a.</w:t>
            </w:r>
          </w:p>
        </w:tc>
      </w:tr>
      <w:tr w:rsidR="00FF6FC1" w:rsidTr="00896939">
        <w:tc>
          <w:tcPr>
            <w:tcW w:w="329" w:type="dxa"/>
          </w:tcPr>
          <w:p w:rsidR="00FF6FC1" w:rsidRDefault="004005BC" w:rsidP="00455F19">
            <w:r>
              <w:t>6</w:t>
            </w:r>
          </w:p>
        </w:tc>
        <w:tc>
          <w:tcPr>
            <w:tcW w:w="2643" w:type="dxa"/>
          </w:tcPr>
          <w:p w:rsidR="00FF6FC1" w:rsidRDefault="004005BC" w:rsidP="00455F19">
            <w:r>
              <w:t>cyclus</w:t>
            </w:r>
          </w:p>
        </w:tc>
        <w:tc>
          <w:tcPr>
            <w:tcW w:w="2693" w:type="dxa"/>
          </w:tcPr>
          <w:p w:rsidR="00FF6FC1" w:rsidRDefault="004005BC" w:rsidP="00455F19">
            <w:r>
              <w:t>Als team en in de groep werken aan dezelfde cyclus</w:t>
            </w:r>
          </w:p>
          <w:p w:rsidR="00D879CB" w:rsidRDefault="00D879CB" w:rsidP="00455F19"/>
          <w:p w:rsidR="00D879CB" w:rsidRDefault="00D879CB" w:rsidP="00455F19"/>
          <w:p w:rsidR="00D879CB" w:rsidRDefault="00D879CB" w:rsidP="00455F19"/>
          <w:p w:rsidR="00D879CB" w:rsidRDefault="00D879CB" w:rsidP="00455F19"/>
          <w:p w:rsidR="00D879CB" w:rsidRDefault="00D879CB" w:rsidP="00455F19">
            <w:r>
              <w:t>Werkdruk hanteerbaar</w:t>
            </w:r>
          </w:p>
        </w:tc>
        <w:tc>
          <w:tcPr>
            <w:tcW w:w="5675" w:type="dxa"/>
          </w:tcPr>
          <w:p w:rsidR="00FF6FC1" w:rsidRDefault="004005BC" w:rsidP="00455F19">
            <w:r>
              <w:t>We werken aan een professioneel lerende cultuur.</w:t>
            </w:r>
          </w:p>
          <w:p w:rsidR="004005BC" w:rsidRDefault="004005BC" w:rsidP="00455F19">
            <w:r>
              <w:t xml:space="preserve">Waar staan we – </w:t>
            </w:r>
            <w:r w:rsidR="00A97EC4">
              <w:t>reflecteren en erop terugkomen om</w:t>
            </w:r>
            <w:r>
              <w:t xml:space="preserve"> ervan </w:t>
            </w:r>
            <w:r w:rsidR="00A97EC4">
              <w:t>te leren en te leren waar we voor staan en wat en hoe we dit kunnen realiseren</w:t>
            </w:r>
            <w:r w:rsidR="00D879CB">
              <w:t>.</w:t>
            </w:r>
          </w:p>
          <w:p w:rsidR="004005BC" w:rsidRDefault="004005BC" w:rsidP="00455F19">
            <w:r>
              <w:t xml:space="preserve">Wat is nodig, gezien wat we willen. Wat is de volgende stap. </w:t>
            </w:r>
          </w:p>
          <w:p w:rsidR="004005BC" w:rsidRDefault="004005BC" w:rsidP="00455F19"/>
          <w:p w:rsidR="004005BC" w:rsidRDefault="00D879CB" w:rsidP="00455F19">
            <w:pPr>
              <w:rPr>
                <w:rFonts w:ascii="Calibri" w:hAnsi="Calibri" w:cs="Calibri"/>
              </w:rPr>
            </w:pPr>
            <w:r>
              <w:t>Onderzoeken wat werkdruk cre</w:t>
            </w:r>
            <w:r>
              <w:rPr>
                <w:rFonts w:cstheme="minorHAnsi"/>
              </w:rPr>
              <w:t>ë</w:t>
            </w:r>
            <w:r>
              <w:rPr>
                <w:rFonts w:ascii="Calibri" w:hAnsi="Calibri" w:cs="Calibri"/>
              </w:rPr>
              <w:t xml:space="preserve">ert. </w:t>
            </w:r>
          </w:p>
          <w:p w:rsidR="00D879CB" w:rsidRDefault="00D879CB" w:rsidP="00455F19">
            <w:r>
              <w:rPr>
                <w:rFonts w:ascii="Calibri" w:hAnsi="Calibri" w:cs="Calibri"/>
              </w:rPr>
              <w:t>Met elkaar anders leren werken daarin.</w:t>
            </w:r>
          </w:p>
        </w:tc>
        <w:tc>
          <w:tcPr>
            <w:tcW w:w="1436" w:type="dxa"/>
          </w:tcPr>
          <w:p w:rsidR="00FF6FC1" w:rsidRDefault="004005BC" w:rsidP="00455F19">
            <w:r>
              <w:t>Doorgaand proces</w:t>
            </w:r>
          </w:p>
        </w:tc>
        <w:tc>
          <w:tcPr>
            <w:tcW w:w="1394" w:type="dxa"/>
          </w:tcPr>
          <w:p w:rsidR="00FF6FC1" w:rsidRDefault="004005BC" w:rsidP="00455F19">
            <w:r>
              <w:t>Team</w:t>
            </w:r>
          </w:p>
        </w:tc>
      </w:tr>
      <w:tr w:rsidR="00083CED" w:rsidTr="00896939">
        <w:tc>
          <w:tcPr>
            <w:tcW w:w="329" w:type="dxa"/>
          </w:tcPr>
          <w:p w:rsidR="00083CED" w:rsidRDefault="00083CED" w:rsidP="00455F19">
            <w:r>
              <w:t>7</w:t>
            </w:r>
          </w:p>
        </w:tc>
        <w:tc>
          <w:tcPr>
            <w:tcW w:w="2643" w:type="dxa"/>
          </w:tcPr>
          <w:p w:rsidR="00083CED" w:rsidRDefault="00083CED" w:rsidP="00455F19">
            <w:r>
              <w:t>Opleiden</w:t>
            </w:r>
          </w:p>
        </w:tc>
        <w:tc>
          <w:tcPr>
            <w:tcW w:w="2693" w:type="dxa"/>
          </w:tcPr>
          <w:p w:rsidR="00083CED" w:rsidRDefault="00083CED" w:rsidP="00455F19">
            <w:r>
              <w:t>Begeleiding nieuwe collega’s en studenten</w:t>
            </w:r>
          </w:p>
        </w:tc>
        <w:tc>
          <w:tcPr>
            <w:tcW w:w="5675" w:type="dxa"/>
          </w:tcPr>
          <w:p w:rsidR="00083CED" w:rsidRDefault="00083CED" w:rsidP="00455F19">
            <w:r>
              <w:t xml:space="preserve">De tijd heeft geleerd dat het van groot belang is om nieuwe collega’s goed te begeleiden zodat zij de tijd en ruimte krijgen om te groeien in ons onderwijsconcept. </w:t>
            </w:r>
          </w:p>
          <w:p w:rsidR="00083CED" w:rsidRDefault="00083CED" w:rsidP="00455F19">
            <w:r>
              <w:t>Er is een begeleidingsplan, er worden maatjes gevormd.</w:t>
            </w:r>
          </w:p>
          <w:p w:rsidR="00083CED" w:rsidRDefault="00083CED" w:rsidP="00455F19">
            <w:r>
              <w:t xml:space="preserve">Een leerkracht heeft ambulante tijd om zich daarvoor in te zetten. </w:t>
            </w:r>
          </w:p>
        </w:tc>
        <w:tc>
          <w:tcPr>
            <w:tcW w:w="1436" w:type="dxa"/>
          </w:tcPr>
          <w:p w:rsidR="00083CED" w:rsidRDefault="00083CED" w:rsidP="00455F19"/>
        </w:tc>
        <w:tc>
          <w:tcPr>
            <w:tcW w:w="1394" w:type="dxa"/>
          </w:tcPr>
          <w:p w:rsidR="00083CED" w:rsidRDefault="00083CED" w:rsidP="00455F19">
            <w:r>
              <w:t>Jeroen, Doortje en Anouk.</w:t>
            </w:r>
          </w:p>
        </w:tc>
      </w:tr>
    </w:tbl>
    <w:p w:rsidR="00455F19" w:rsidRDefault="00455F19"/>
    <w:p w:rsidR="00455F19" w:rsidRDefault="00455F19"/>
    <w:p w:rsidR="00455F19" w:rsidRDefault="00455F19" w:rsidP="004005BC">
      <w:pPr>
        <w:pStyle w:val="Lijstalinea"/>
        <w:ind w:left="408"/>
      </w:pPr>
    </w:p>
    <w:sectPr w:rsidR="00455F19" w:rsidSect="00455F1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1000"/>
    <w:multiLevelType w:val="hybridMultilevel"/>
    <w:tmpl w:val="26587D52"/>
    <w:lvl w:ilvl="0" w:tplc="62A85932">
      <w:start w:val="2019"/>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19"/>
    <w:rsid w:val="00083CED"/>
    <w:rsid w:val="0008537F"/>
    <w:rsid w:val="000D1971"/>
    <w:rsid w:val="000E5D4A"/>
    <w:rsid w:val="001611FF"/>
    <w:rsid w:val="001B14C4"/>
    <w:rsid w:val="002202AF"/>
    <w:rsid w:val="002C353F"/>
    <w:rsid w:val="004005BC"/>
    <w:rsid w:val="00446B57"/>
    <w:rsid w:val="00455F19"/>
    <w:rsid w:val="004A6440"/>
    <w:rsid w:val="00587E44"/>
    <w:rsid w:val="005F1559"/>
    <w:rsid w:val="006066FB"/>
    <w:rsid w:val="00715A64"/>
    <w:rsid w:val="0074467A"/>
    <w:rsid w:val="00886CC5"/>
    <w:rsid w:val="00896939"/>
    <w:rsid w:val="00910991"/>
    <w:rsid w:val="00A44A49"/>
    <w:rsid w:val="00A538D1"/>
    <w:rsid w:val="00A97EC4"/>
    <w:rsid w:val="00B562F1"/>
    <w:rsid w:val="00BE2E7F"/>
    <w:rsid w:val="00D879CB"/>
    <w:rsid w:val="00E6187D"/>
    <w:rsid w:val="00E67943"/>
    <w:rsid w:val="00FF6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60B"/>
  <w15:chartTrackingRefBased/>
  <w15:docId w15:val="{DD8EC1A5-8E4B-4D10-9144-A4A04EF1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5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46B57"/>
    <w:pPr>
      <w:spacing w:after="0" w:line="240" w:lineRule="auto"/>
    </w:pPr>
  </w:style>
  <w:style w:type="character" w:styleId="Hyperlink">
    <w:name w:val="Hyperlink"/>
    <w:basedOn w:val="Standaardalinea-lettertype"/>
    <w:uiPriority w:val="99"/>
    <w:unhideWhenUsed/>
    <w:rsid w:val="0008537F"/>
    <w:rPr>
      <w:color w:val="0563C1" w:themeColor="hyperlink"/>
      <w:u w:val="single"/>
    </w:rPr>
  </w:style>
  <w:style w:type="paragraph" w:styleId="Lijstalinea">
    <w:name w:val="List Paragraph"/>
    <w:basedOn w:val="Standaard"/>
    <w:uiPriority w:val="34"/>
    <w:qFormat/>
    <w:rsid w:val="002C3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kctalen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717</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Doortje Barten</dc:creator>
  <cp:keywords/>
  <dc:description/>
  <cp:lastModifiedBy>Doortje Barten</cp:lastModifiedBy>
  <cp:revision>5</cp:revision>
  <dcterms:created xsi:type="dcterms:W3CDTF">2019-10-10T11:12:00Z</dcterms:created>
  <dcterms:modified xsi:type="dcterms:W3CDTF">2019-10-31T07:29:00Z</dcterms:modified>
</cp:coreProperties>
</file>